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D184" w14:textId="77777777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Вопрос: Об НДФЛ со стоимости паевого взноса и кооперативных выплат, полученных членами потребительского кооператива при выходе из кооператива.</w:t>
      </w:r>
    </w:p>
    <w:p w14:paraId="5C387CE2" w14:textId="77777777" w:rsidR="003647AE" w:rsidRPr="003647AE" w:rsidRDefault="003647AE" w:rsidP="003647AE">
      <w:pPr>
        <w:shd w:val="clear" w:color="auto" w:fill="FFFFFF"/>
        <w:spacing w:before="411" w:after="274" w:line="343" w:lineRule="atLeast"/>
        <w:ind w:left="-709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>МИНИСТЕРСТВО ФИНАНСОВ РОССИЙСКОЙ ФЕДЕРАЦИИ</w:t>
      </w:r>
    </w:p>
    <w:p w14:paraId="7E1BD253" w14:textId="77777777" w:rsidR="003647AE" w:rsidRPr="003647AE" w:rsidRDefault="003647AE" w:rsidP="003647AE">
      <w:pPr>
        <w:shd w:val="clear" w:color="auto" w:fill="FFFFFF"/>
        <w:spacing w:after="274" w:line="343" w:lineRule="atLeast"/>
        <w:ind w:left="-709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>ПИСЬМО</w:t>
      </w:r>
      <w:r w:rsidRPr="003647AE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br/>
        <w:t>от 17 мая 2023 г. N 03-04-06/44867</w:t>
      </w:r>
    </w:p>
    <w:p w14:paraId="0C60AD65" w14:textId="77777777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Департамент налоговой политики рассмотрел обращение Потребительского кооператива от 16.03.2023 и сообщает, что в соответствии с </w:t>
      </w:r>
      <w:hyperlink r:id="rId4" w:anchor="l4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Регламентом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 Минфина России, утвержденным приказом Минфина России от 14.09.2018 N 194н, в Минфине России, если законодательством не установлено иное, не рассматриваются по существу обращения по проведению экспертизы договоров, учредительных и иных документов организаций, по оценке конкретных хозяйственных ситуаций.</w:t>
      </w:r>
      <w:bookmarkStart w:id="0" w:name="l1"/>
      <w:bookmarkEnd w:id="0"/>
    </w:p>
    <w:p w14:paraId="73E8BD40" w14:textId="77777777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EE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Вместе с тем в соответствии со </w:t>
      </w:r>
      <w:hyperlink r:id="rId5" w:anchor="l3830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статьей 34.2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 xml:space="preserve"> Налогового кодекса Российской Федерации (далее - Кодекс) </w:t>
      </w:r>
      <w:r w:rsidRPr="003647AE">
        <w:rPr>
          <w:rFonts w:ascii="PT Serif" w:eastAsia="Times New Roman" w:hAnsi="PT Serif" w:cs="Times New Roman"/>
          <w:color w:val="EE0000"/>
          <w:kern w:val="0"/>
          <w:lang w:eastAsia="ru-RU"/>
          <w14:ligatures w14:val="none"/>
        </w:rPr>
        <w:t>по вопросам налогообложения доходов физических лиц - членов потребительского кооператива разъясняем следующее.</w:t>
      </w:r>
    </w:p>
    <w:p w14:paraId="42B13DFB" w14:textId="77777777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Согласно </w:t>
      </w:r>
      <w:hyperlink r:id="rId6" w:anchor="l35415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статье 209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 xml:space="preserve"> Кодекса </w:t>
      </w:r>
      <w:r w:rsidRPr="003647AE">
        <w:rPr>
          <w:rFonts w:ascii="PT Serif" w:eastAsia="Times New Roman" w:hAnsi="PT Serif" w:cs="Times New Roman"/>
          <w:color w:val="EE0000"/>
          <w:kern w:val="0"/>
          <w:lang w:eastAsia="ru-RU"/>
          <w14:ligatures w14:val="none"/>
        </w:rPr>
        <w:t xml:space="preserve">объектом налогообложения для физических лиц, </w:t>
      </w: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 xml:space="preserve">являющихся налоговыми резидентами Российской Федерации, </w:t>
      </w:r>
      <w:r w:rsidRPr="003647AE">
        <w:rPr>
          <w:rFonts w:ascii="PT Serif" w:eastAsia="Times New Roman" w:hAnsi="PT Serif" w:cs="Times New Roman"/>
          <w:color w:val="EE0000"/>
          <w:kern w:val="0"/>
          <w:lang w:eastAsia="ru-RU"/>
          <w14:ligatures w14:val="none"/>
        </w:rPr>
        <w:t xml:space="preserve">признается доход, </w:t>
      </w: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полученный налогоплательщиками от источников в Российской Федерации и (или) от источников за пределами Российской Федерации, а для физических лиц, не являющихся налоговыми резидентами Российской Федерации, - доход, полученный налогоплательщиками от источников в Российской Федерации.</w:t>
      </w:r>
      <w:bookmarkStart w:id="1" w:name="l9"/>
      <w:bookmarkStart w:id="2" w:name="l2"/>
      <w:bookmarkEnd w:id="1"/>
      <w:bookmarkEnd w:id="2"/>
    </w:p>
    <w:p w14:paraId="24A3983B" w14:textId="77777777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На основании </w:t>
      </w:r>
      <w:hyperlink r:id="rId7" w:anchor="l23682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пункта 1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 xml:space="preserve"> статьи 210 Кодекса при определении налоговой базы </w:t>
      </w:r>
      <w:r w:rsidRPr="003647AE">
        <w:rPr>
          <w:rFonts w:ascii="PT Serif" w:eastAsia="Times New Roman" w:hAnsi="PT Serif" w:cs="Times New Roman"/>
          <w:color w:val="EE0000"/>
          <w:kern w:val="0"/>
          <w:lang w:eastAsia="ru-RU"/>
          <w14:ligatures w14:val="none"/>
        </w:rPr>
        <w:t xml:space="preserve">учитываются все </w:t>
      </w:r>
      <w:r w:rsidRPr="003647AE">
        <w:rPr>
          <w:rFonts w:ascii="PT Serif" w:eastAsia="Times New Roman" w:hAnsi="PT Serif" w:cs="Times New Roman"/>
          <w:b/>
          <w:bCs/>
          <w:color w:val="EE0000"/>
          <w:kern w:val="0"/>
          <w:u w:val="single"/>
          <w:lang w:eastAsia="ru-RU"/>
          <w14:ligatures w14:val="none"/>
        </w:rPr>
        <w:t xml:space="preserve">доходы </w:t>
      </w: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 xml:space="preserve">налогоплательщика, полученные им как в денежной, так и в натуральной форме, или право на распоряжение которыми у него возникло, а также </w:t>
      </w:r>
      <w:r w:rsidRPr="003647AE">
        <w:rPr>
          <w:rFonts w:ascii="PT Serif" w:eastAsia="Times New Roman" w:hAnsi="PT Serif" w:cs="Times New Roman"/>
          <w:color w:val="EE0000"/>
          <w:kern w:val="0"/>
          <w:lang w:eastAsia="ru-RU"/>
          <w14:ligatures w14:val="none"/>
        </w:rPr>
        <w:t>доходы</w:t>
      </w: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 xml:space="preserve"> в виде материальной выгоды, определяемой в соответствии со </w:t>
      </w:r>
      <w:hyperlink r:id="rId8" w:anchor="l40712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статьей 212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 Кодекса.</w:t>
      </w:r>
      <w:bookmarkStart w:id="3" w:name="l10"/>
      <w:bookmarkEnd w:id="3"/>
    </w:p>
    <w:p w14:paraId="3313E54D" w14:textId="77777777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Правовые, экономические и социальные основы создания и деятельности потребительских обществ и их союзов, составляющих потребительскую кооперацию Российской Федерации, определяет Закон Российской Федерации </w:t>
      </w:r>
      <w:hyperlink r:id="rId9" w:anchor="l0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от 19.06.1992 N 3085-1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 "О потребительской кооперации (потребительских обществах, их союзах) в Российской Федерации" (далее - Закон N 3085-1).</w:t>
      </w:r>
      <w:bookmarkStart w:id="4" w:name="l3"/>
      <w:bookmarkEnd w:id="4"/>
    </w:p>
    <w:p w14:paraId="1D509AF5" w14:textId="77777777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Согласно </w:t>
      </w:r>
      <w:hyperlink r:id="rId10" w:anchor="l7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статье 1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 xml:space="preserve"> Закона N 3085-1 паевой взнос - имущественный взнос пайщика в паевой фонд потребительского общества деньгами, ценными бумагами, земельным участком или земельной долей, другим имуществом либо имущественными или иными </w:t>
      </w: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lastRenderedPageBreak/>
        <w:t>правами, имеющими денежную оценку; паевой фонд - фонд, состоящий из паевых взносов, вносимых пайщиками при создании потребительского общества или вступлении в него и являющихся одним из источников формирования имущества потребительского общества.</w:t>
      </w:r>
      <w:bookmarkStart w:id="5" w:name="l11"/>
      <w:bookmarkStart w:id="6" w:name="l4"/>
      <w:bookmarkEnd w:id="5"/>
      <w:bookmarkEnd w:id="6"/>
    </w:p>
    <w:p w14:paraId="385576A1" w14:textId="77777777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При этом согласно </w:t>
      </w:r>
      <w:hyperlink r:id="rId11" w:anchor="l153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статье 21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 Закона N 3085-1 собственником имущества потребительского общества является потребительское общество как юридическое лицо.</w:t>
      </w:r>
    </w:p>
    <w:p w14:paraId="41B4DF39" w14:textId="77777777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В соответствии с </w:t>
      </w:r>
      <w:hyperlink r:id="rId12" w:anchor="l2226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пунктом 1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 статьи 14 Закона N 3085-1 пайщику, выходящему из потребительского общества, выплачиваются стоимость его паевого взноса и кооперативные выплаты в размерах, в сроки и на условиях, которые предусмотрены уставом потребительского общества на момент вступления пайщика в потребительское общество.</w:t>
      </w:r>
      <w:bookmarkStart w:id="7" w:name="l12"/>
      <w:bookmarkStart w:id="8" w:name="l5"/>
      <w:bookmarkEnd w:id="7"/>
      <w:bookmarkEnd w:id="8"/>
    </w:p>
    <w:p w14:paraId="52E4544A" w14:textId="09A219ED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 xml:space="preserve">Стоимость паевого взноса и кооперативные выплаты, полученные физическими лицами - членами потребительского кооператива при их выходе из кооператива, </w:t>
      </w:r>
      <w:r w:rsidRPr="003647AE">
        <w:rPr>
          <w:rFonts w:ascii="PT Serif" w:eastAsia="Times New Roman" w:hAnsi="PT Serif" w:cs="Times New Roman"/>
          <w:color w:val="EE0000"/>
          <w:kern w:val="0"/>
          <w:lang w:eastAsia="ru-RU"/>
          <w14:ligatures w14:val="none"/>
        </w:rPr>
        <w:t xml:space="preserve">являются доходами </w:t>
      </w: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и подлежат обложению налогом на доходы физических лиц в общем порядке.</w:t>
      </w:r>
      <w:r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 xml:space="preserve"> </w:t>
      </w:r>
    </w:p>
    <w:p w14:paraId="1C8278C5" w14:textId="2AC94C0D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Уменьшение суммы дохода, полученного физическими лицами - членами потребительского кооператива при их выходе из кооператива, на стоимость внесенного паевого взноса </w:t>
      </w:r>
      <w:hyperlink r:id="rId13" w:anchor="l41838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главой 23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 xml:space="preserve"> "Налог на доходы физических лиц" </w:t>
      </w:r>
      <w:r w:rsidRPr="003647AE">
        <w:rPr>
          <w:rFonts w:ascii="PT Serif" w:eastAsia="Times New Roman" w:hAnsi="PT Serif" w:cs="Times New Roman"/>
          <w:color w:val="EE0000"/>
          <w:kern w:val="0"/>
          <w:lang w:eastAsia="ru-RU"/>
          <w14:ligatures w14:val="none"/>
        </w:rPr>
        <w:t>Кодекса не предусмотрено.</w:t>
      </w:r>
      <w:bookmarkStart w:id="9" w:name="l13"/>
      <w:bookmarkEnd w:id="9"/>
      <w:r>
        <w:rPr>
          <w:rFonts w:ascii="PT Serif" w:eastAsia="Times New Roman" w:hAnsi="PT Serif" w:cs="Times New Roman"/>
          <w:color w:val="EE0000"/>
          <w:kern w:val="0"/>
          <w:lang w:eastAsia="ru-RU"/>
          <w14:ligatures w14:val="none"/>
        </w:rPr>
        <w:t xml:space="preserve"> </w:t>
      </w:r>
    </w:p>
    <w:p w14:paraId="545FE7E5" w14:textId="77777777" w:rsidR="003647AE" w:rsidRPr="003647AE" w:rsidRDefault="003647AE" w:rsidP="003647AE">
      <w:pPr>
        <w:shd w:val="clear" w:color="auto" w:fill="E3E3E3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Официальный источник электронного документа содержит неточность: имеется в виду </w:t>
      </w:r>
      <w:hyperlink r:id="rId14" w:anchor="l6200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пункт 1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 статьи 226 НК РФ.</w:t>
      </w:r>
    </w:p>
    <w:p w14:paraId="7E501D38" w14:textId="77777777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На основании 1 </w:t>
      </w:r>
      <w:hyperlink r:id="rId15" w:anchor="l17749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статьи 226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 Кодекса налоговыми агентами являются, в частности, российские организации, от которых или в результате отношений с которыми налогоплательщик получил доходы, указанные в </w:t>
      </w:r>
      <w:hyperlink r:id="rId16" w:anchor="l35475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пункте 2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 данной статьи. Налоговые агенты обязаны исчислить, удержать у налогоплательщика и уплатить сумму налога, исчисленную в соответствии со </w:t>
      </w:r>
      <w:hyperlink r:id="rId17" w:anchor="l14740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статьей 225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 Кодекса, с учетом особенностей, предусмотренных данной </w:t>
      </w:r>
      <w:hyperlink r:id="rId18" w:anchor="l17749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статьей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.</w:t>
      </w:r>
      <w:bookmarkStart w:id="10" w:name="l15"/>
      <w:bookmarkStart w:id="11" w:name="l14"/>
      <w:bookmarkEnd w:id="10"/>
      <w:bookmarkEnd w:id="11"/>
    </w:p>
    <w:p w14:paraId="627DF629" w14:textId="77777777" w:rsidR="003647AE" w:rsidRPr="003647AE" w:rsidRDefault="003647AE" w:rsidP="003647AE">
      <w:pPr>
        <w:shd w:val="clear" w:color="auto" w:fill="FFFFFF"/>
        <w:spacing w:after="300" w:line="240" w:lineRule="auto"/>
        <w:ind w:left="-709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В соответствии с </w:t>
      </w:r>
      <w:hyperlink r:id="rId19" w:anchor="l19262" w:tgtFrame="_blank" w:history="1">
        <w:r w:rsidRPr="003647AE">
          <w:rPr>
            <w:rFonts w:ascii="PT Serif" w:eastAsia="Times New Roman" w:hAnsi="PT Serif" w:cs="Times New Roman"/>
            <w:color w:val="3072C4"/>
            <w:kern w:val="0"/>
            <w:u w:val="single"/>
            <w:lang w:eastAsia="ru-RU"/>
            <w14:ligatures w14:val="none"/>
          </w:rPr>
          <w:t>пунктом 4</w:t>
        </w:r>
      </w:hyperlink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t> статьи 226 Кодекса налоговые агенты обязаны удержать начисленную сумму налога непосредственно из доходов налогоплательщика при их фактической выплате.</w:t>
      </w:r>
      <w:bookmarkStart w:id="12" w:name="l6"/>
      <w:bookmarkStart w:id="13" w:name="l8"/>
      <w:bookmarkEnd w:id="12"/>
      <w:bookmarkEnd w:id="13"/>
    </w:p>
    <w:p w14:paraId="155976D0" w14:textId="77777777" w:rsidR="003647AE" w:rsidRPr="003647AE" w:rsidRDefault="003647AE" w:rsidP="003647AE">
      <w:pPr>
        <w:shd w:val="clear" w:color="auto" w:fill="FFFFFF"/>
        <w:spacing w:after="300" w:line="240" w:lineRule="auto"/>
        <w:ind w:left="-709"/>
        <w:jc w:val="right"/>
        <w:textAlignment w:val="baseline"/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</w:pPr>
      <w:r w:rsidRPr="003647AE">
        <w:rPr>
          <w:rFonts w:ascii="PT Serif" w:eastAsia="Times New Roman" w:hAnsi="PT Serif" w:cs="Times New Roman"/>
          <w:i/>
          <w:iCs/>
          <w:color w:val="000000"/>
          <w:kern w:val="0"/>
          <w:lang w:eastAsia="ru-RU"/>
          <w14:ligatures w14:val="none"/>
        </w:rPr>
        <w:t>Заместитель директора Департамента</w:t>
      </w:r>
      <w:r w:rsidRPr="003647AE">
        <w:rPr>
          <w:rFonts w:ascii="PT Serif" w:eastAsia="Times New Roman" w:hAnsi="PT Serif" w:cs="Times New Roman"/>
          <w:color w:val="000000"/>
          <w:kern w:val="0"/>
          <w:lang w:eastAsia="ru-RU"/>
          <w14:ligatures w14:val="none"/>
        </w:rPr>
        <w:br/>
      </w:r>
      <w:r w:rsidRPr="003647AE">
        <w:rPr>
          <w:rFonts w:ascii="PT Serif" w:eastAsia="Times New Roman" w:hAnsi="PT Serif" w:cs="Times New Roman"/>
          <w:i/>
          <w:iCs/>
          <w:color w:val="000000"/>
          <w:kern w:val="0"/>
          <w:lang w:eastAsia="ru-RU"/>
          <w14:ligatures w14:val="none"/>
        </w:rPr>
        <w:t>Р.А. ЛЫКОВ</w:t>
      </w:r>
    </w:p>
    <w:p w14:paraId="74033C8E" w14:textId="77777777" w:rsidR="00C6585A" w:rsidRDefault="00C6585A" w:rsidP="003647AE">
      <w:pPr>
        <w:ind w:left="-567"/>
      </w:pPr>
    </w:p>
    <w:sectPr w:rsidR="00C6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A"/>
    <w:rsid w:val="003647AE"/>
    <w:rsid w:val="003969A1"/>
    <w:rsid w:val="008F5A1F"/>
    <w:rsid w:val="00AF0EE6"/>
    <w:rsid w:val="00C6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B27D"/>
  <w15:chartTrackingRefBased/>
  <w15:docId w15:val="{6F018E64-BC32-484A-BB80-728D8EE7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5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5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8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58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58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58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58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58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5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5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58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58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58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5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58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5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7924" TargetMode="External"/><Relationship Id="rId13" Type="http://schemas.openxmlformats.org/officeDocument/2006/relationships/hyperlink" Target="https://normativ.kontur.ru/document?moduleId=1&amp;documentId=447924" TargetMode="External"/><Relationship Id="rId18" Type="http://schemas.openxmlformats.org/officeDocument/2006/relationships/hyperlink" Target="https://normativ.kontur.ru/document?moduleId=1&amp;documentId=44792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447924" TargetMode="External"/><Relationship Id="rId12" Type="http://schemas.openxmlformats.org/officeDocument/2006/relationships/hyperlink" Target="https://normativ.kontur.ru/document?moduleId=1&amp;documentId=444763" TargetMode="External"/><Relationship Id="rId17" Type="http://schemas.openxmlformats.org/officeDocument/2006/relationships/hyperlink" Target="https://normativ.kontur.ru/document?moduleId=1&amp;documentId=4479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4792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7924" TargetMode="External"/><Relationship Id="rId11" Type="http://schemas.openxmlformats.org/officeDocument/2006/relationships/hyperlink" Target="https://normativ.kontur.ru/document?moduleId=1&amp;documentId=197907" TargetMode="External"/><Relationship Id="rId5" Type="http://schemas.openxmlformats.org/officeDocument/2006/relationships/hyperlink" Target="https://normativ.kontur.ru/document?moduleId=1&amp;documentId=444763" TargetMode="External"/><Relationship Id="rId15" Type="http://schemas.openxmlformats.org/officeDocument/2006/relationships/hyperlink" Target="https://normativ.kontur.ru/document?moduleId=1&amp;documentId=447924" TargetMode="External"/><Relationship Id="rId10" Type="http://schemas.openxmlformats.org/officeDocument/2006/relationships/hyperlink" Target="https://normativ.kontur.ru/document?moduleId=1&amp;documentId=197907" TargetMode="External"/><Relationship Id="rId19" Type="http://schemas.openxmlformats.org/officeDocument/2006/relationships/hyperlink" Target="https://normativ.kontur.ru/document?moduleId=1&amp;documentId=447924" TargetMode="External"/><Relationship Id="rId4" Type="http://schemas.openxmlformats.org/officeDocument/2006/relationships/hyperlink" Target="https://normativ.kontur.ru/document?moduleId=1&amp;documentId=419480" TargetMode="External"/><Relationship Id="rId9" Type="http://schemas.openxmlformats.org/officeDocument/2006/relationships/hyperlink" Target="https://normativ.kontur.ru/document?moduleId=1&amp;documentId=197907" TargetMode="External"/><Relationship Id="rId14" Type="http://schemas.openxmlformats.org/officeDocument/2006/relationships/hyperlink" Target="https://normativ.kontur.ru/document?moduleId=1&amp;documentId=447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 Высокова</dc:creator>
  <cp:keywords/>
  <dc:description/>
  <cp:lastModifiedBy>Е Высокова</cp:lastModifiedBy>
  <cp:revision>3</cp:revision>
  <dcterms:created xsi:type="dcterms:W3CDTF">2026-07-06T15:42:00Z</dcterms:created>
  <dcterms:modified xsi:type="dcterms:W3CDTF">2026-07-06T16:25:00Z</dcterms:modified>
</cp:coreProperties>
</file>